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D45FE4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.0</w:t>
      </w:r>
      <w:r w:rsidR="00713C4F">
        <w:rPr>
          <w:rFonts w:ascii="Arial" w:hAnsi="Arial" w:cs="Arial"/>
          <w:sz w:val="18"/>
          <w:szCs w:val="18"/>
        </w:rPr>
        <w:t>4</w:t>
      </w:r>
      <w:r w:rsidR="00F9520B">
        <w:rPr>
          <w:rFonts w:ascii="Arial" w:hAnsi="Arial" w:cs="Arial"/>
          <w:sz w:val="18"/>
          <w:szCs w:val="18"/>
        </w:rPr>
        <w:t>.0</w:t>
      </w:r>
      <w:r w:rsidR="00487187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.0</w:t>
      </w:r>
      <w:r w:rsidR="00F63B66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-28-001/16(…)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A57FCD">
        <w:rPr>
          <w:rFonts w:ascii="Arial" w:hAnsi="Arial" w:cs="Arial"/>
          <w:sz w:val="18"/>
          <w:szCs w:val="18"/>
        </w:rPr>
        <w:t>28.06.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A57FCD">
        <w:rPr>
          <w:rFonts w:ascii="Arial" w:hAnsi="Arial" w:cs="Arial"/>
          <w:sz w:val="20"/>
          <w:szCs w:val="20"/>
        </w:rPr>
        <w:t>28.06.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FF29BC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E1157A" w:rsidRDefault="00834A1B" w:rsidP="00E1157A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>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211A9A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Dopuszcza się dokonywanie oceny wniosku przez Ekspert</w:t>
      </w:r>
      <w:r w:rsidR="00A1625A">
        <w:rPr>
          <w:rFonts w:ascii="Calibri" w:hAnsi="Calibri" w:cs="Arial"/>
          <w:sz w:val="20"/>
          <w:szCs w:val="20"/>
        </w:rPr>
        <w:t xml:space="preserve">a </w:t>
      </w:r>
      <w:r w:rsidR="00A1625A" w:rsidRPr="00410AB7">
        <w:rPr>
          <w:rFonts w:ascii="Calibri" w:hAnsi="Calibri" w:cs="Arial"/>
          <w:sz w:val="20"/>
          <w:szCs w:val="20"/>
        </w:rPr>
        <w:t>poza siedzibą Warmińsko-Mazurskiej Agencji Rozwoju Regionalnego S.A. w Olsztynie</w:t>
      </w:r>
      <w:r>
        <w:rPr>
          <w:rFonts w:ascii="Calibri" w:hAnsi="Calibri" w:cs="Arial"/>
          <w:sz w:val="20"/>
          <w:szCs w:val="20"/>
        </w:rPr>
        <w:t xml:space="preserve"> na podstawie elektronicznej wersji wniosku i załączników przesłanej </w:t>
      </w:r>
      <w:r w:rsidR="00A1625A">
        <w:rPr>
          <w:rFonts w:ascii="Calibri" w:hAnsi="Calibri" w:cs="Arial"/>
          <w:sz w:val="20"/>
          <w:szCs w:val="20"/>
        </w:rPr>
        <w:t xml:space="preserve">Ekspertowi </w:t>
      </w:r>
      <w:r>
        <w:rPr>
          <w:rFonts w:ascii="Calibri" w:hAnsi="Calibri" w:cs="Arial"/>
          <w:sz w:val="20"/>
          <w:szCs w:val="20"/>
        </w:rPr>
        <w:t xml:space="preserve">przez Sekretarza KOP </w:t>
      </w:r>
      <w:r w:rsidR="00A1625A" w:rsidRPr="00410AB7">
        <w:rPr>
          <w:rFonts w:ascii="Calibri" w:hAnsi="Calibri" w:cs="Arial"/>
          <w:sz w:val="20"/>
          <w:szCs w:val="20"/>
        </w:rPr>
        <w:t>po uzyskaniu</w:t>
      </w:r>
      <w:r w:rsidR="00A1625A" w:rsidRPr="00EE358B">
        <w:rPr>
          <w:rFonts w:ascii="Calibri" w:hAnsi="Calibri" w:cs="Arial"/>
          <w:sz w:val="20"/>
          <w:szCs w:val="20"/>
        </w:rPr>
        <w:t xml:space="preserve"> </w:t>
      </w:r>
      <w:r w:rsidR="00A1625A">
        <w:rPr>
          <w:rFonts w:ascii="Calibri" w:hAnsi="Calibri" w:cs="Arial"/>
          <w:sz w:val="20"/>
          <w:szCs w:val="20"/>
        </w:rPr>
        <w:t xml:space="preserve">podpisanej umowy o dzieło oraz </w:t>
      </w:r>
      <w:r w:rsidR="00A1625A" w:rsidRPr="00410AB7">
        <w:rPr>
          <w:rFonts w:ascii="Calibri" w:hAnsi="Calibri" w:cs="Arial"/>
          <w:sz w:val="20"/>
        </w:rPr>
        <w:t xml:space="preserve">Oświadczenia o braku powiązań </w:t>
      </w:r>
      <w:r w:rsidR="00A1625A">
        <w:rPr>
          <w:rFonts w:ascii="Calibri" w:hAnsi="Calibri" w:cs="Arial"/>
          <w:sz w:val="20"/>
        </w:rPr>
        <w:t>po</w:t>
      </w:r>
      <w:r w:rsidR="00A1625A" w:rsidRPr="00410AB7">
        <w:rPr>
          <w:rFonts w:ascii="Calibri" w:hAnsi="Calibri" w:cs="Arial"/>
          <w:sz w:val="20"/>
        </w:rPr>
        <w:t xml:space="preserve">między </w:t>
      </w:r>
      <w:r w:rsidR="00A1625A">
        <w:rPr>
          <w:rFonts w:ascii="Calibri" w:hAnsi="Calibri" w:cs="Arial"/>
          <w:sz w:val="20"/>
        </w:rPr>
        <w:t>C</w:t>
      </w:r>
      <w:r w:rsidR="00A1625A" w:rsidRPr="00410AB7">
        <w:rPr>
          <w:rFonts w:ascii="Calibri" w:hAnsi="Calibri" w:cs="Arial"/>
          <w:sz w:val="20"/>
        </w:rPr>
        <w:t xml:space="preserve">złonkami KOP </w:t>
      </w:r>
      <w:r w:rsidR="00A1625A">
        <w:rPr>
          <w:rFonts w:ascii="Calibri" w:hAnsi="Calibri" w:cs="Arial"/>
          <w:sz w:val="20"/>
        </w:rPr>
        <w:t xml:space="preserve"> przesłanych drogą elektroniczną a następnie złożonych </w:t>
      </w:r>
      <w:r w:rsidR="00A1625A" w:rsidRPr="00410AB7">
        <w:rPr>
          <w:rFonts w:ascii="Calibri" w:hAnsi="Calibri" w:cs="Arial"/>
          <w:sz w:val="20"/>
        </w:rPr>
        <w:t xml:space="preserve"> wersji papierow</w:t>
      </w:r>
      <w:r w:rsidR="00A1625A">
        <w:rPr>
          <w:rFonts w:ascii="Calibri" w:hAnsi="Calibri" w:cs="Arial"/>
          <w:sz w:val="20"/>
        </w:rPr>
        <w:t>ych</w:t>
      </w:r>
      <w:r w:rsidR="00A1625A" w:rsidRPr="00410AB7">
        <w:rPr>
          <w:rFonts w:ascii="Calibri" w:hAnsi="Calibri" w:cs="Arial"/>
          <w:sz w:val="20"/>
        </w:rPr>
        <w:t>.</w:t>
      </w:r>
      <w:bookmarkStart w:id="0" w:name="_GoBack"/>
      <w:bookmarkEnd w:id="0"/>
      <w:r w:rsidR="00A1625A" w:rsidRPr="00410AB7">
        <w:rPr>
          <w:rFonts w:ascii="Calibri" w:hAnsi="Calibri" w:cs="Arial"/>
          <w:sz w:val="20"/>
        </w:rPr>
        <w:t xml:space="preserve"> Decyzja, w jaki sposób Ekspert dokonuje oceny podejmowana jest przez Przewodniczącego KOP.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 xml:space="preserve">IP 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E1157A" w:rsidRDefault="00D45FE4" w:rsidP="00E1157A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430E3855" wp14:editId="1393EDE6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1157A" w:rsidRPr="00E1157A" w:rsidRDefault="004F4A8B" w:rsidP="00E1157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E1157A" w:rsidRPr="00E1157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1157A" w:rsidRDefault="004F4A8B" w:rsidP="00E1157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1157A" w:rsidRDefault="004F4A8B" w:rsidP="00E1157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1157A" w:rsidRDefault="004F4A8B" w:rsidP="00E1157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57A" w:rsidRPr="00E1157A" w:rsidRDefault="00E1157A" w:rsidP="00E1157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D45FE4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2D1A3BF1" wp14:editId="627A468B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25A" w:rsidRPr="00211A9A" w:rsidRDefault="00A1625A" w:rsidP="00A1625A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A1625A" w:rsidRPr="00211A9A" w:rsidRDefault="00A1625A" w:rsidP="00A1625A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A1625A" w:rsidRPr="00211A9A" w:rsidRDefault="00A1625A" w:rsidP="00A1625A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A1625A" w:rsidRPr="00211A9A" w:rsidRDefault="00A1625A" w:rsidP="00A1625A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A1625A" w:rsidRPr="00211A9A" w:rsidRDefault="00A1625A" w:rsidP="00A1625A">
      <w:pPr>
        <w:ind w:firstLine="708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A1625A" w:rsidRPr="00211A9A" w:rsidRDefault="00A1625A" w:rsidP="00A1625A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A1625A" w:rsidRPr="00211A9A" w:rsidRDefault="00A1625A" w:rsidP="00A1625A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A1625A" w:rsidRPr="00211A9A" w:rsidRDefault="00A1625A" w:rsidP="00A1625A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A1625A" w:rsidRPr="00211A9A" w:rsidRDefault="00A1625A" w:rsidP="00A1625A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A1625A" w:rsidRPr="00211A9A" w:rsidRDefault="00A1625A" w:rsidP="00A1625A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A1625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A1625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A1625A" w:rsidRPr="00211A9A" w:rsidRDefault="00A1625A" w:rsidP="00A1625A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A1625A" w:rsidRPr="00211A9A" w:rsidRDefault="00A1625A" w:rsidP="00A1625A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A1625A" w:rsidRPr="00211A9A" w:rsidRDefault="00A1625A" w:rsidP="00A1625A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A1625A" w:rsidRPr="00211A9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A1625A" w:rsidRPr="00211A9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A1625A" w:rsidRPr="00211A9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A1625A" w:rsidRPr="00211A9A" w:rsidRDefault="00A1625A" w:rsidP="00A1625A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Default="00A1625A" w:rsidP="00A1625A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A1625A" w:rsidRPr="0051523F" w:rsidRDefault="00A1625A" w:rsidP="00A1625A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A1625A" w:rsidRPr="0051523F" w:rsidRDefault="00A1625A" w:rsidP="00A1625A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A1625A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A1625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A1625A" w:rsidRDefault="00A1625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A1625A" w:rsidRDefault="00A1625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A1625A" w:rsidRPr="00211A9A" w:rsidRDefault="00A1625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D45FE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423FF22A" wp14:editId="2A3A202F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E1157A" w:rsidRDefault="008945C7" w:rsidP="00E1157A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D45FE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12F16645" wp14:editId="51ED2B93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E1157A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8945C7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D45FE4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D45FE4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D45FE4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209695" w15:done="0"/>
  <w15:commentEx w15:paraId="03FA92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4F" w:rsidRDefault="00FD754F" w:rsidP="00667027">
      <w:r>
        <w:separator/>
      </w:r>
    </w:p>
  </w:endnote>
  <w:endnote w:type="continuationSeparator" w:id="0">
    <w:p w:rsidR="00FD754F" w:rsidRDefault="00FD754F" w:rsidP="00667027">
      <w:r>
        <w:continuationSeparator/>
      </w:r>
    </w:p>
  </w:endnote>
  <w:endnote w:type="continuationNotice" w:id="1">
    <w:p w:rsidR="00FD754F" w:rsidRDefault="00FD7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D02237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515386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4F" w:rsidRDefault="00FD754F" w:rsidP="00667027">
      <w:r>
        <w:separator/>
      </w:r>
    </w:p>
  </w:footnote>
  <w:footnote w:type="continuationSeparator" w:id="0">
    <w:p w:rsidR="00FD754F" w:rsidRDefault="00FD754F" w:rsidP="00667027">
      <w:r>
        <w:continuationSeparator/>
      </w:r>
    </w:p>
  </w:footnote>
  <w:footnote w:type="continuationNotice" w:id="1">
    <w:p w:rsidR="00FD754F" w:rsidRDefault="00FD754F"/>
  </w:footnote>
  <w:footnote w:id="2">
    <w:p w:rsidR="00A1625A" w:rsidRDefault="00A1625A" w:rsidP="00A162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A1625A" w:rsidRDefault="00A1625A" w:rsidP="00A1625A">
      <w:pPr>
        <w:pStyle w:val="Tekstprzypisudolnego"/>
      </w:pPr>
    </w:p>
  </w:footnote>
  <w:footnote w:id="3">
    <w:p w:rsidR="00A1625A" w:rsidRDefault="00A1625A" w:rsidP="00A1625A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5769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5A35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22A1"/>
    <w:rsid w:val="001C5864"/>
    <w:rsid w:val="001C674A"/>
    <w:rsid w:val="001C69E5"/>
    <w:rsid w:val="001D01AE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31A49"/>
    <w:rsid w:val="00234B82"/>
    <w:rsid w:val="00235EBC"/>
    <w:rsid w:val="00237D18"/>
    <w:rsid w:val="002403F5"/>
    <w:rsid w:val="0024262A"/>
    <w:rsid w:val="002456A5"/>
    <w:rsid w:val="002460F3"/>
    <w:rsid w:val="00247BB8"/>
    <w:rsid w:val="00253BD7"/>
    <w:rsid w:val="002562D4"/>
    <w:rsid w:val="0025647A"/>
    <w:rsid w:val="00263564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779"/>
    <w:rsid w:val="002C1DFA"/>
    <w:rsid w:val="002C7BCD"/>
    <w:rsid w:val="002D2C54"/>
    <w:rsid w:val="002D33AF"/>
    <w:rsid w:val="002D34E4"/>
    <w:rsid w:val="002F064F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010B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5A83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87187"/>
    <w:rsid w:val="00490CA4"/>
    <w:rsid w:val="0049113C"/>
    <w:rsid w:val="00493133"/>
    <w:rsid w:val="004970A7"/>
    <w:rsid w:val="004972FB"/>
    <w:rsid w:val="004A3EBA"/>
    <w:rsid w:val="004A6834"/>
    <w:rsid w:val="004B0820"/>
    <w:rsid w:val="004B1DCF"/>
    <w:rsid w:val="004C19A5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386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362F"/>
    <w:rsid w:val="005655BD"/>
    <w:rsid w:val="00566A66"/>
    <w:rsid w:val="005672DA"/>
    <w:rsid w:val="005678D4"/>
    <w:rsid w:val="0057071C"/>
    <w:rsid w:val="005734F1"/>
    <w:rsid w:val="00574F3D"/>
    <w:rsid w:val="00575814"/>
    <w:rsid w:val="00576983"/>
    <w:rsid w:val="005777A9"/>
    <w:rsid w:val="00580827"/>
    <w:rsid w:val="00584873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D0ACF"/>
    <w:rsid w:val="006D4474"/>
    <w:rsid w:val="006D4A43"/>
    <w:rsid w:val="006D5150"/>
    <w:rsid w:val="006D6D7E"/>
    <w:rsid w:val="006E2A4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4028"/>
    <w:rsid w:val="007954A2"/>
    <w:rsid w:val="007A043D"/>
    <w:rsid w:val="007A4564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2B25"/>
    <w:rsid w:val="00834A1B"/>
    <w:rsid w:val="0083510E"/>
    <w:rsid w:val="00836ECD"/>
    <w:rsid w:val="0084020A"/>
    <w:rsid w:val="00841D3B"/>
    <w:rsid w:val="00845356"/>
    <w:rsid w:val="0084765E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C0E2F"/>
    <w:rsid w:val="008C2014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1D72"/>
    <w:rsid w:val="00903DDF"/>
    <w:rsid w:val="0090419A"/>
    <w:rsid w:val="00904AE9"/>
    <w:rsid w:val="0090590E"/>
    <w:rsid w:val="00906C4B"/>
    <w:rsid w:val="00906F69"/>
    <w:rsid w:val="009103AA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35C3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47F4"/>
    <w:rsid w:val="00A157FB"/>
    <w:rsid w:val="00A1625A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7290"/>
    <w:rsid w:val="00A510FD"/>
    <w:rsid w:val="00A519AE"/>
    <w:rsid w:val="00A526A3"/>
    <w:rsid w:val="00A571AA"/>
    <w:rsid w:val="00A57977"/>
    <w:rsid w:val="00A57FCD"/>
    <w:rsid w:val="00A61839"/>
    <w:rsid w:val="00A64803"/>
    <w:rsid w:val="00A649B5"/>
    <w:rsid w:val="00A673A2"/>
    <w:rsid w:val="00A67A49"/>
    <w:rsid w:val="00A72E85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56B2"/>
    <w:rsid w:val="00AA5FE0"/>
    <w:rsid w:val="00AA6662"/>
    <w:rsid w:val="00AA7865"/>
    <w:rsid w:val="00AB1009"/>
    <w:rsid w:val="00AC1D7B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7CEC"/>
    <w:rsid w:val="00B91B2D"/>
    <w:rsid w:val="00B9471D"/>
    <w:rsid w:val="00BA018D"/>
    <w:rsid w:val="00BA02D0"/>
    <w:rsid w:val="00BB1218"/>
    <w:rsid w:val="00BB1FF2"/>
    <w:rsid w:val="00BB5AA8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C02A8E"/>
    <w:rsid w:val="00C053CD"/>
    <w:rsid w:val="00C06815"/>
    <w:rsid w:val="00C06ACE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6423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2237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7AAE"/>
    <w:rsid w:val="00D43983"/>
    <w:rsid w:val="00D45618"/>
    <w:rsid w:val="00D45FE4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582F"/>
    <w:rsid w:val="00DF5C47"/>
    <w:rsid w:val="00E05DFE"/>
    <w:rsid w:val="00E06DF9"/>
    <w:rsid w:val="00E0701B"/>
    <w:rsid w:val="00E1157A"/>
    <w:rsid w:val="00E15227"/>
    <w:rsid w:val="00E15620"/>
    <w:rsid w:val="00E20FD0"/>
    <w:rsid w:val="00E21CB5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911CE"/>
    <w:rsid w:val="00E9169E"/>
    <w:rsid w:val="00E921BB"/>
    <w:rsid w:val="00E92CC0"/>
    <w:rsid w:val="00E93B05"/>
    <w:rsid w:val="00E93E4B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6E85"/>
    <w:rsid w:val="00F573A7"/>
    <w:rsid w:val="00F61058"/>
    <w:rsid w:val="00F63968"/>
    <w:rsid w:val="00F63B66"/>
    <w:rsid w:val="00F646C2"/>
    <w:rsid w:val="00F6665E"/>
    <w:rsid w:val="00F707B4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754F"/>
    <w:rsid w:val="00FE191C"/>
    <w:rsid w:val="00FE589D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62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625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2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107F2-1E3D-4A8B-8B4D-30F7CE7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4876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2</cp:revision>
  <cp:lastPrinted>2016-05-17T11:13:00Z</cp:lastPrinted>
  <dcterms:created xsi:type="dcterms:W3CDTF">2016-08-25T09:59:00Z</dcterms:created>
  <dcterms:modified xsi:type="dcterms:W3CDTF">2016-08-25T09:59:00Z</dcterms:modified>
</cp:coreProperties>
</file>